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43" w:rsidRDefault="00632B43">
      <w:pPr>
        <w:widowControl w:val="0"/>
      </w:pPr>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3105"/>
        <w:gridCol w:w="3120"/>
      </w:tblGrid>
      <w:tr w:rsidR="00632B43">
        <w:tc>
          <w:tcPr>
            <w:tcW w:w="3135" w:type="dxa"/>
            <w:shd w:val="clear" w:color="auto" w:fill="auto"/>
            <w:tcMar>
              <w:top w:w="100" w:type="dxa"/>
              <w:left w:w="100" w:type="dxa"/>
              <w:bottom w:w="100" w:type="dxa"/>
              <w:right w:w="100" w:type="dxa"/>
            </w:tcMar>
          </w:tcPr>
          <w:p w:rsidR="00632B43" w:rsidRDefault="00C83A5C">
            <w:pPr>
              <w:widowControl w:val="0"/>
              <w:pBdr>
                <w:top w:val="nil"/>
                <w:left w:val="nil"/>
                <w:bottom w:val="nil"/>
                <w:right w:val="nil"/>
                <w:between w:val="nil"/>
              </w:pBdr>
              <w:spacing w:line="240" w:lineRule="auto"/>
            </w:pPr>
            <w:r>
              <w:rPr>
                <w:noProof/>
                <w:lang w:val="en-US"/>
              </w:rPr>
              <w:drawing>
                <wp:inline distT="114300" distB="114300" distL="114300" distR="114300">
                  <wp:extent cx="747713" cy="7515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47713" cy="751567"/>
                          </a:xfrm>
                          <a:prstGeom prst="rect">
                            <a:avLst/>
                          </a:prstGeom>
                          <a:ln/>
                        </pic:spPr>
                      </pic:pic>
                    </a:graphicData>
                  </a:graphic>
                </wp:inline>
              </w:drawing>
            </w:r>
          </w:p>
        </w:tc>
        <w:tc>
          <w:tcPr>
            <w:tcW w:w="3105" w:type="dxa"/>
            <w:shd w:val="clear" w:color="auto" w:fill="auto"/>
            <w:tcMar>
              <w:top w:w="100" w:type="dxa"/>
              <w:left w:w="100" w:type="dxa"/>
              <w:bottom w:w="100" w:type="dxa"/>
              <w:right w:w="100" w:type="dxa"/>
            </w:tcMar>
          </w:tcPr>
          <w:p w:rsidR="00632B43" w:rsidRDefault="00C83A5C">
            <w:pPr>
              <w:widowControl w:val="0"/>
              <w:pBdr>
                <w:top w:val="nil"/>
                <w:left w:val="nil"/>
                <w:bottom w:val="nil"/>
                <w:right w:val="nil"/>
                <w:between w:val="nil"/>
              </w:pBdr>
              <w:spacing w:line="240" w:lineRule="auto"/>
              <w:jc w:val="center"/>
              <w:rPr>
                <w:b/>
                <w:sz w:val="24"/>
                <w:szCs w:val="24"/>
              </w:rPr>
            </w:pPr>
            <w:r>
              <w:rPr>
                <w:b/>
                <w:sz w:val="24"/>
                <w:szCs w:val="24"/>
              </w:rPr>
              <w:t>Oklahoma Union School</w:t>
            </w:r>
          </w:p>
        </w:tc>
        <w:tc>
          <w:tcPr>
            <w:tcW w:w="3120" w:type="dxa"/>
            <w:shd w:val="clear" w:color="auto" w:fill="auto"/>
            <w:tcMar>
              <w:top w:w="100" w:type="dxa"/>
              <w:left w:w="100" w:type="dxa"/>
              <w:bottom w:w="100" w:type="dxa"/>
              <w:right w:w="100" w:type="dxa"/>
            </w:tcMar>
          </w:tcPr>
          <w:p w:rsidR="00632B43" w:rsidRDefault="00C83A5C">
            <w:pPr>
              <w:widowControl w:val="0"/>
              <w:pBdr>
                <w:top w:val="nil"/>
                <w:left w:val="nil"/>
                <w:bottom w:val="nil"/>
                <w:right w:val="nil"/>
                <w:between w:val="nil"/>
              </w:pBdr>
              <w:spacing w:line="240" w:lineRule="auto"/>
              <w:jc w:val="center"/>
              <w:rPr>
                <w:b/>
                <w:sz w:val="24"/>
                <w:szCs w:val="24"/>
              </w:rPr>
            </w:pPr>
            <w:r>
              <w:rPr>
                <w:b/>
                <w:sz w:val="24"/>
                <w:szCs w:val="24"/>
              </w:rPr>
              <w:t>Child Nutrition Payment Policy</w:t>
            </w:r>
          </w:p>
        </w:tc>
      </w:tr>
      <w:tr w:rsidR="00632B43">
        <w:tc>
          <w:tcPr>
            <w:tcW w:w="3135" w:type="dxa"/>
            <w:shd w:val="clear" w:color="auto" w:fill="auto"/>
            <w:tcMar>
              <w:top w:w="100" w:type="dxa"/>
              <w:left w:w="100" w:type="dxa"/>
              <w:bottom w:w="100" w:type="dxa"/>
              <w:right w:w="100" w:type="dxa"/>
            </w:tcMar>
          </w:tcPr>
          <w:p w:rsidR="00632B43" w:rsidRDefault="00C83A5C">
            <w:pPr>
              <w:widowControl w:val="0"/>
              <w:pBdr>
                <w:top w:val="nil"/>
                <w:left w:val="nil"/>
                <w:bottom w:val="nil"/>
                <w:right w:val="nil"/>
                <w:between w:val="nil"/>
              </w:pBdr>
              <w:spacing w:line="240" w:lineRule="auto"/>
            </w:pPr>
            <w:r>
              <w:rPr>
                <w:i/>
                <w:sz w:val="18"/>
                <w:szCs w:val="18"/>
              </w:rPr>
              <w:t>Adoption Date:</w:t>
            </w:r>
            <w:r>
              <w:t xml:space="preserve">  8/2/2017</w:t>
            </w:r>
          </w:p>
        </w:tc>
        <w:tc>
          <w:tcPr>
            <w:tcW w:w="3105" w:type="dxa"/>
            <w:shd w:val="clear" w:color="auto" w:fill="auto"/>
            <w:tcMar>
              <w:top w:w="100" w:type="dxa"/>
              <w:left w:w="100" w:type="dxa"/>
              <w:bottom w:w="100" w:type="dxa"/>
              <w:right w:w="100" w:type="dxa"/>
            </w:tcMar>
          </w:tcPr>
          <w:p w:rsidR="00632B43" w:rsidRDefault="00C83A5C">
            <w:pPr>
              <w:widowControl w:val="0"/>
              <w:pBdr>
                <w:top w:val="nil"/>
                <w:left w:val="nil"/>
                <w:bottom w:val="nil"/>
                <w:right w:val="nil"/>
                <w:between w:val="nil"/>
              </w:pBdr>
              <w:spacing w:line="240" w:lineRule="auto"/>
            </w:pPr>
            <w:r>
              <w:rPr>
                <w:i/>
                <w:sz w:val="18"/>
                <w:szCs w:val="18"/>
              </w:rPr>
              <w:t>Revision Date(s)</w:t>
            </w:r>
            <w:r>
              <w:t>:  6/26/24</w:t>
            </w:r>
          </w:p>
        </w:tc>
        <w:tc>
          <w:tcPr>
            <w:tcW w:w="3120" w:type="dxa"/>
            <w:shd w:val="clear" w:color="auto" w:fill="auto"/>
            <w:tcMar>
              <w:top w:w="100" w:type="dxa"/>
              <w:left w:w="100" w:type="dxa"/>
              <w:bottom w:w="100" w:type="dxa"/>
              <w:right w:w="100" w:type="dxa"/>
            </w:tcMar>
          </w:tcPr>
          <w:p w:rsidR="00632B43" w:rsidRDefault="00C83A5C">
            <w:pPr>
              <w:widowControl w:val="0"/>
              <w:pBdr>
                <w:top w:val="nil"/>
                <w:left w:val="nil"/>
                <w:bottom w:val="nil"/>
                <w:right w:val="nil"/>
                <w:between w:val="nil"/>
              </w:pBdr>
              <w:spacing w:line="240" w:lineRule="auto"/>
            </w:pPr>
            <w:r>
              <w:t>Pg. 1 of 3</w:t>
            </w:r>
          </w:p>
        </w:tc>
      </w:tr>
    </w:tbl>
    <w:p w:rsidR="00632B43" w:rsidRDefault="00632B43">
      <w:pPr>
        <w:widowControl w:val="0"/>
      </w:pPr>
    </w:p>
    <w:tbl>
      <w:tblPr>
        <w:tblStyle w:val="a0"/>
        <w:tblW w:w="9480" w:type="dxa"/>
        <w:tblInd w:w="-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20"/>
        <w:gridCol w:w="1135"/>
        <w:gridCol w:w="1135"/>
        <w:gridCol w:w="1135"/>
        <w:gridCol w:w="1135"/>
        <w:gridCol w:w="1135"/>
        <w:gridCol w:w="1135"/>
        <w:gridCol w:w="1150"/>
      </w:tblGrid>
      <w:tr w:rsidR="00632B43">
        <w:tc>
          <w:tcPr>
            <w:tcW w:w="9480" w:type="dxa"/>
            <w:gridSpan w:val="8"/>
            <w:tcBorders>
              <w:top w:val="single" w:sz="6" w:space="0" w:color="000000"/>
              <w:left w:val="single" w:sz="6" w:space="0" w:color="000000"/>
              <w:bottom w:val="single" w:sz="6" w:space="0" w:color="000000"/>
              <w:right w:val="single" w:sz="6" w:space="0" w:color="000000"/>
            </w:tcBorders>
            <w:vAlign w:val="center"/>
          </w:tcPr>
          <w:p w:rsidR="00632B43" w:rsidRDefault="00C83A5C">
            <w:pPr>
              <w:spacing w:after="200" w:line="240" w:lineRule="auto"/>
              <w:jc w:val="center"/>
              <w:rPr>
                <w:rFonts w:ascii="Times New Roman" w:eastAsia="Times New Roman" w:hAnsi="Times New Roman" w:cs="Times New Roman"/>
                <w:b/>
                <w:sz w:val="48"/>
                <w:szCs w:val="48"/>
              </w:rPr>
            </w:pPr>
            <w:bookmarkStart w:id="1" w:name="kix.6jilne6bulai" w:colFirst="0" w:colLast="0"/>
            <w:bookmarkEnd w:id="1"/>
            <w:r>
              <w:rPr>
                <w:rFonts w:ascii="Times New Roman" w:eastAsia="Times New Roman" w:hAnsi="Times New Roman" w:cs="Times New Roman"/>
                <w:b/>
                <w:sz w:val="48"/>
                <w:szCs w:val="48"/>
              </w:rPr>
              <w:t>Meal Prices 2024-2025</w:t>
            </w:r>
          </w:p>
        </w:tc>
      </w:tr>
      <w:tr w:rsidR="00632B43">
        <w:tc>
          <w:tcPr>
            <w:tcW w:w="152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270" w:type="dxa"/>
            <w:gridSpan w:val="2"/>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Elementary School</w:t>
            </w:r>
          </w:p>
        </w:tc>
        <w:tc>
          <w:tcPr>
            <w:tcW w:w="2270" w:type="dxa"/>
            <w:gridSpan w:val="2"/>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Middle School</w:t>
            </w:r>
          </w:p>
        </w:tc>
        <w:tc>
          <w:tcPr>
            <w:tcW w:w="2270" w:type="dxa"/>
            <w:gridSpan w:val="2"/>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High School</w:t>
            </w:r>
          </w:p>
        </w:tc>
        <w:tc>
          <w:tcPr>
            <w:tcW w:w="115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All Schools</w:t>
            </w:r>
          </w:p>
        </w:tc>
      </w:tr>
      <w:tr w:rsidR="00632B43">
        <w:tc>
          <w:tcPr>
            <w:tcW w:w="152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 Pay</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Reduced</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 Pay</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Reduced</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 Pay</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Reduced</w:t>
            </w:r>
          </w:p>
        </w:tc>
        <w:tc>
          <w:tcPr>
            <w:tcW w:w="115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Adult</w:t>
            </w:r>
          </w:p>
        </w:tc>
      </w:tr>
      <w:tr w:rsidR="00632B43">
        <w:tc>
          <w:tcPr>
            <w:tcW w:w="152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Breakfast</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15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r w:rsidR="00632B43">
        <w:tc>
          <w:tcPr>
            <w:tcW w:w="152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Lunch</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15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r>
      <w:tr w:rsidR="00632B43">
        <w:tc>
          <w:tcPr>
            <w:tcW w:w="152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 per day</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135"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150" w:type="dxa"/>
            <w:tcBorders>
              <w:top w:val="single" w:sz="6" w:space="0" w:color="000000"/>
              <w:left w:val="single" w:sz="6" w:space="0" w:color="000000"/>
              <w:bottom w:val="single" w:sz="6" w:space="0" w:color="000000"/>
              <w:right w:val="single" w:sz="6" w:space="0" w:color="000000"/>
            </w:tcBorders>
            <w:vAlign w:val="center"/>
          </w:tcPr>
          <w:p w:rsidR="00632B43" w:rsidRDefault="00C83A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r>
    </w:tbl>
    <w:p w:rsidR="00632B43" w:rsidRDefault="00C83A5C">
      <w:pPr>
        <w:spacing w:before="280" w:after="28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NON DISCRIMINATION STATEMENT </w:t>
      </w:r>
    </w:p>
    <w:p w:rsidR="00632B43" w:rsidRDefault="00C83A5C">
      <w:pPr>
        <w:shd w:val="clear" w:color="auto" w:fill="FFFFFF"/>
        <w:spacing w:before="240" w:after="240" w:line="240" w:lineRule="auto"/>
        <w:rPr>
          <w:rFonts w:ascii="Roboto" w:eastAsia="Roboto" w:hAnsi="Roboto" w:cs="Roboto"/>
          <w:b/>
          <w:i/>
          <w:color w:val="1B1B1B"/>
          <w:sz w:val="18"/>
          <w:szCs w:val="18"/>
        </w:rPr>
      </w:pPr>
      <w:r>
        <w:rPr>
          <w:rFonts w:ascii="Roboto" w:eastAsia="Roboto" w:hAnsi="Roboto" w:cs="Roboto"/>
          <w:b/>
          <w: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w:t>
      </w:r>
      <w:r>
        <w:rPr>
          <w:rFonts w:ascii="Roboto" w:eastAsia="Roboto" w:hAnsi="Roboto" w:cs="Roboto"/>
          <w:b/>
          <w:i/>
          <w:color w:val="1B1B1B"/>
          <w:sz w:val="18"/>
          <w:szCs w:val="18"/>
        </w:rPr>
        <w:t xml:space="preserve"> sexual orientation), disability, age, or reprisal or retaliation for prior civil rights activity.</w:t>
      </w:r>
    </w:p>
    <w:p w:rsidR="00632B43" w:rsidRDefault="00C83A5C">
      <w:pPr>
        <w:shd w:val="clear" w:color="auto" w:fill="FFFFFF"/>
        <w:spacing w:before="240" w:after="240" w:line="240" w:lineRule="auto"/>
        <w:rPr>
          <w:rFonts w:ascii="Roboto" w:eastAsia="Roboto" w:hAnsi="Roboto" w:cs="Roboto"/>
          <w:b/>
          <w:i/>
          <w:color w:val="1B1B1B"/>
          <w:sz w:val="18"/>
          <w:szCs w:val="18"/>
        </w:rPr>
      </w:pPr>
      <w:r>
        <w:rPr>
          <w:rFonts w:ascii="Roboto" w:eastAsia="Roboto" w:hAnsi="Roboto" w:cs="Roboto"/>
          <w:b/>
          <w:i/>
          <w:color w:val="1B1B1B"/>
          <w:sz w:val="18"/>
          <w:szCs w:val="18"/>
        </w:rPr>
        <w:t>Program information may be made available in languages other than English. Persons with disabilities who require alternative means of communication to obtain</w:t>
      </w:r>
      <w:r>
        <w:rPr>
          <w:rFonts w:ascii="Roboto" w:eastAsia="Roboto" w:hAnsi="Roboto" w:cs="Roboto"/>
          <w:b/>
          <w:i/>
          <w:color w:val="1B1B1B"/>
          <w:sz w:val="18"/>
          <w:szCs w:val="18"/>
        </w:rPr>
        <w:t xml:space="preserve"> program information (e.g., Braille, large print, audiotape, American Sign Language), should contact the responsible state or local agency that administers the program or USDA’s TARGET Center at (202) 720-2600 (voice and TTY) or contact USDA through the Fe</w:t>
      </w:r>
      <w:r>
        <w:rPr>
          <w:rFonts w:ascii="Roboto" w:eastAsia="Roboto" w:hAnsi="Roboto" w:cs="Roboto"/>
          <w:b/>
          <w:i/>
          <w:color w:val="1B1B1B"/>
          <w:sz w:val="18"/>
          <w:szCs w:val="18"/>
        </w:rPr>
        <w:t>deral Relay Service at (800) 877-8339.</w:t>
      </w:r>
    </w:p>
    <w:p w:rsidR="00632B43" w:rsidRDefault="00C83A5C">
      <w:pPr>
        <w:shd w:val="clear" w:color="auto" w:fill="FFFFFF"/>
        <w:spacing w:before="240" w:after="240" w:line="240" w:lineRule="auto"/>
        <w:rPr>
          <w:rFonts w:ascii="Roboto" w:eastAsia="Roboto" w:hAnsi="Roboto" w:cs="Roboto"/>
          <w:b/>
          <w:i/>
          <w:color w:val="1B1B1B"/>
          <w:sz w:val="18"/>
          <w:szCs w:val="18"/>
        </w:rPr>
      </w:pPr>
      <w:r>
        <w:rPr>
          <w:rFonts w:ascii="Roboto" w:eastAsia="Roboto" w:hAnsi="Roboto" w:cs="Roboto"/>
          <w:b/>
          <w:i/>
          <w:color w:val="1B1B1B"/>
          <w:sz w:val="18"/>
          <w:szCs w:val="18"/>
        </w:rPr>
        <w:t xml:space="preserve">To file a program discrimination complaint, a Complainant should complete a Form AD-3027, USDA Program Discrimination Complaint Form which can be obtained online at: </w:t>
      </w:r>
      <w:hyperlink r:id="rId8">
        <w:r>
          <w:rPr>
            <w:rFonts w:ascii="Roboto" w:eastAsia="Roboto" w:hAnsi="Roboto" w:cs="Roboto"/>
            <w:b/>
            <w:i/>
            <w:color w:val="2E8540"/>
            <w:sz w:val="18"/>
            <w:szCs w:val="18"/>
            <w:u w:val="single"/>
          </w:rPr>
          <w:t>https://www.usda.gov/sites/default/files/documents/ad-3027.pdf</w:t>
        </w:r>
      </w:hyperlink>
      <w:r>
        <w:rPr>
          <w:rFonts w:ascii="Roboto" w:eastAsia="Roboto" w:hAnsi="Roboto" w:cs="Roboto"/>
          <w:b/>
          <w:i/>
          <w:color w:val="1B1B1B"/>
          <w:sz w:val="18"/>
          <w:szCs w:val="18"/>
        </w:rPr>
        <w:t>, from any USDA office, by calling (866) 632-9992, or by writing a letter addressed to USDA. The letter must conta</w:t>
      </w:r>
      <w:r>
        <w:rPr>
          <w:rFonts w:ascii="Roboto" w:eastAsia="Roboto" w:hAnsi="Roboto" w:cs="Roboto"/>
          <w:b/>
          <w:i/>
          <w:color w:val="1B1B1B"/>
          <w:sz w:val="18"/>
          <w:szCs w:val="18"/>
        </w:rPr>
        <w:t>in the complainant’s name, address, telephone number, and a written description of the alleged discriminatory action in sufficient detail to inform the Assistant Secretary for Civil Rights (ASCR) about the nature and date of an alleged civil rights violati</w:t>
      </w:r>
      <w:r>
        <w:rPr>
          <w:rFonts w:ascii="Roboto" w:eastAsia="Roboto" w:hAnsi="Roboto" w:cs="Roboto"/>
          <w:b/>
          <w:i/>
          <w:color w:val="1B1B1B"/>
          <w:sz w:val="18"/>
          <w:szCs w:val="18"/>
        </w:rPr>
        <w:t>on. The completed AD-3027 form or letter must be submitted to USDA by:</w:t>
      </w:r>
    </w:p>
    <w:p w:rsidR="00632B43" w:rsidRDefault="00C83A5C">
      <w:pPr>
        <w:numPr>
          <w:ilvl w:val="0"/>
          <w:numId w:val="2"/>
        </w:numPr>
        <w:shd w:val="clear" w:color="auto" w:fill="FFFFFF"/>
        <w:spacing w:before="240" w:line="240" w:lineRule="auto"/>
        <w:rPr>
          <w:b/>
          <w:i/>
          <w:sz w:val="18"/>
          <w:szCs w:val="18"/>
        </w:rPr>
      </w:pPr>
      <w:r>
        <w:rPr>
          <w:rFonts w:ascii="Roboto" w:eastAsia="Roboto" w:hAnsi="Roboto" w:cs="Roboto"/>
          <w:b/>
          <w:i/>
          <w:color w:val="1B1B1B"/>
          <w:sz w:val="18"/>
          <w:szCs w:val="18"/>
        </w:rPr>
        <w:t>mail:</w:t>
      </w:r>
      <w:r>
        <w:rPr>
          <w:rFonts w:ascii="Roboto" w:eastAsia="Roboto" w:hAnsi="Roboto" w:cs="Roboto"/>
          <w:b/>
          <w:i/>
          <w:color w:val="1B1B1B"/>
          <w:sz w:val="18"/>
          <w:szCs w:val="18"/>
        </w:rPr>
        <w:br/>
        <w:t>U.S. Department of Agriculture</w:t>
      </w:r>
      <w:r>
        <w:rPr>
          <w:rFonts w:ascii="Roboto" w:eastAsia="Roboto" w:hAnsi="Roboto" w:cs="Roboto"/>
          <w:b/>
          <w:i/>
          <w:color w:val="1B1B1B"/>
          <w:sz w:val="18"/>
          <w:szCs w:val="18"/>
        </w:rPr>
        <w:br/>
        <w:t>Office of the Assistant Secretary for Civil Rights</w:t>
      </w:r>
      <w:r>
        <w:rPr>
          <w:rFonts w:ascii="Roboto" w:eastAsia="Roboto" w:hAnsi="Roboto" w:cs="Roboto"/>
          <w:b/>
          <w:i/>
          <w:color w:val="1B1B1B"/>
          <w:sz w:val="18"/>
          <w:szCs w:val="18"/>
        </w:rPr>
        <w:br/>
        <w:t>1400 Independence Avenue, SW</w:t>
      </w:r>
      <w:r>
        <w:rPr>
          <w:rFonts w:ascii="Roboto" w:eastAsia="Roboto" w:hAnsi="Roboto" w:cs="Roboto"/>
          <w:b/>
          <w:i/>
          <w:color w:val="1B1B1B"/>
          <w:sz w:val="18"/>
          <w:szCs w:val="18"/>
        </w:rPr>
        <w:br/>
        <w:t>Washington, D.C. 20250-9410; or</w:t>
      </w:r>
    </w:p>
    <w:p w:rsidR="00632B43" w:rsidRDefault="00C83A5C">
      <w:pPr>
        <w:numPr>
          <w:ilvl w:val="0"/>
          <w:numId w:val="2"/>
        </w:numPr>
        <w:shd w:val="clear" w:color="auto" w:fill="FFFFFF"/>
        <w:spacing w:line="240" w:lineRule="auto"/>
        <w:rPr>
          <w:b/>
          <w:i/>
          <w:sz w:val="18"/>
          <w:szCs w:val="18"/>
        </w:rPr>
      </w:pPr>
      <w:r>
        <w:rPr>
          <w:rFonts w:ascii="Roboto" w:eastAsia="Roboto" w:hAnsi="Roboto" w:cs="Roboto"/>
          <w:b/>
          <w:i/>
          <w:color w:val="1B1B1B"/>
          <w:sz w:val="18"/>
          <w:szCs w:val="18"/>
        </w:rPr>
        <w:t>fax:</w:t>
      </w:r>
      <w:r>
        <w:rPr>
          <w:rFonts w:ascii="Roboto" w:eastAsia="Roboto" w:hAnsi="Roboto" w:cs="Roboto"/>
          <w:b/>
          <w:i/>
          <w:color w:val="1B1B1B"/>
          <w:sz w:val="18"/>
          <w:szCs w:val="18"/>
        </w:rPr>
        <w:br/>
        <w:t>(833) 256-1665 or (202) 690-744</w:t>
      </w:r>
      <w:r>
        <w:rPr>
          <w:rFonts w:ascii="Roboto" w:eastAsia="Roboto" w:hAnsi="Roboto" w:cs="Roboto"/>
          <w:b/>
          <w:i/>
          <w:color w:val="1B1B1B"/>
          <w:sz w:val="18"/>
          <w:szCs w:val="18"/>
        </w:rPr>
        <w:t>2; or</w:t>
      </w:r>
    </w:p>
    <w:p w:rsidR="00632B43" w:rsidRDefault="00C83A5C">
      <w:pPr>
        <w:numPr>
          <w:ilvl w:val="0"/>
          <w:numId w:val="2"/>
        </w:numPr>
        <w:shd w:val="clear" w:color="auto" w:fill="FFFFFF"/>
        <w:spacing w:after="240" w:line="240" w:lineRule="auto"/>
        <w:rPr>
          <w:b/>
          <w:i/>
          <w:sz w:val="18"/>
          <w:szCs w:val="18"/>
        </w:rPr>
      </w:pPr>
      <w:r>
        <w:rPr>
          <w:rFonts w:ascii="Roboto" w:eastAsia="Roboto" w:hAnsi="Roboto" w:cs="Roboto"/>
          <w:b/>
          <w:i/>
          <w:color w:val="1B1B1B"/>
          <w:sz w:val="18"/>
          <w:szCs w:val="18"/>
        </w:rPr>
        <w:t>email:</w:t>
      </w:r>
      <w:r>
        <w:rPr>
          <w:rFonts w:ascii="Roboto" w:eastAsia="Roboto" w:hAnsi="Roboto" w:cs="Roboto"/>
          <w:b/>
          <w:i/>
          <w:color w:val="1B1B1B"/>
          <w:sz w:val="18"/>
          <w:szCs w:val="18"/>
        </w:rPr>
        <w:br/>
      </w:r>
      <w:r>
        <w:rPr>
          <w:rFonts w:ascii="Roboto" w:eastAsia="Roboto" w:hAnsi="Roboto" w:cs="Roboto"/>
          <w:b/>
          <w:i/>
          <w:color w:val="2E8540"/>
          <w:sz w:val="18"/>
          <w:szCs w:val="18"/>
        </w:rPr>
        <w:t>Program.Intake@usda.gov</w:t>
      </w:r>
    </w:p>
    <w:p w:rsidR="00632B43" w:rsidRDefault="00C83A5C">
      <w:pPr>
        <w:shd w:val="clear" w:color="auto" w:fill="FFFFFF"/>
        <w:spacing w:before="240" w:after="240" w:line="240" w:lineRule="auto"/>
        <w:rPr>
          <w:rFonts w:ascii="Roboto" w:eastAsia="Roboto" w:hAnsi="Roboto" w:cs="Roboto"/>
          <w:b/>
          <w:i/>
          <w:color w:val="1B1B1B"/>
          <w:sz w:val="18"/>
          <w:szCs w:val="18"/>
        </w:rPr>
      </w:pPr>
      <w:r>
        <w:rPr>
          <w:rFonts w:ascii="Roboto" w:eastAsia="Roboto" w:hAnsi="Roboto" w:cs="Roboto"/>
          <w:b/>
          <w:i/>
          <w:color w:val="1B1B1B"/>
          <w:sz w:val="18"/>
          <w:szCs w:val="18"/>
        </w:rPr>
        <w:t xml:space="preserve"> </w:t>
      </w:r>
    </w:p>
    <w:p w:rsidR="00632B43" w:rsidRDefault="00C83A5C">
      <w:pPr>
        <w:shd w:val="clear" w:color="auto" w:fill="FFFFFF"/>
        <w:spacing w:before="240" w:after="240" w:line="240" w:lineRule="auto"/>
        <w:rPr>
          <w:rFonts w:ascii="Times New Roman" w:eastAsia="Times New Roman" w:hAnsi="Times New Roman" w:cs="Times New Roman"/>
          <w:b/>
          <w:sz w:val="27"/>
          <w:szCs w:val="27"/>
        </w:rPr>
      </w:pPr>
      <w:r>
        <w:rPr>
          <w:rFonts w:ascii="Roboto" w:eastAsia="Roboto" w:hAnsi="Roboto" w:cs="Roboto"/>
          <w:b/>
          <w:i/>
          <w:color w:val="1B1B1B"/>
          <w:sz w:val="18"/>
          <w:szCs w:val="18"/>
        </w:rPr>
        <w:t>This institution is an equal opportunity provider.</w:t>
      </w:r>
    </w:p>
    <w:p w:rsidR="00632B43" w:rsidRDefault="00C83A5C">
      <w:pPr>
        <w:spacing w:before="280" w:after="280" w:line="240" w:lineRule="auto"/>
        <w:rPr>
          <w:rFonts w:ascii="Times New Roman" w:eastAsia="Times New Roman" w:hAnsi="Times New Roman" w:cs="Times New Roman"/>
          <w:b/>
        </w:rPr>
      </w:pPr>
      <w:r>
        <w:rPr>
          <w:rFonts w:ascii="Times New Roman" w:eastAsia="Times New Roman" w:hAnsi="Times New Roman" w:cs="Times New Roman"/>
          <w:b/>
        </w:rPr>
        <w:lastRenderedPageBreak/>
        <w:t>Child Nutrition Program</w:t>
      </w:r>
    </w:p>
    <w:p w:rsidR="00632B43" w:rsidRDefault="00C83A5C">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The National School Lunch Act passed in 1946, established school lunch programs across the nation. The purpose of the program was to safeguard</w:t>
      </w:r>
      <w:r>
        <w:rPr>
          <w:rFonts w:ascii="Times New Roman" w:eastAsia="Times New Roman" w:hAnsi="Times New Roman" w:cs="Times New Roman"/>
        </w:rPr>
        <w:t xml:space="preserve"> the health and well-being of the nation’s children and to encourage the consumption of agricultural abundance.</w:t>
      </w:r>
    </w:p>
    <w:p w:rsidR="00632B43" w:rsidRDefault="00C83A5C">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The National School lunch program is available to any public or private nonprofit school or licensed residential child care institution. The obj</w:t>
      </w:r>
      <w:r>
        <w:rPr>
          <w:rFonts w:ascii="Times New Roman" w:eastAsia="Times New Roman" w:hAnsi="Times New Roman" w:cs="Times New Roman"/>
        </w:rPr>
        <w:t>ectives of the national School lunch program are to make available to all students enrolled in schools and institutions a meal during a period designated as the lunch period; to provide nutritionally adequate meals that are acceptable to students, thus red</w:t>
      </w:r>
      <w:r>
        <w:rPr>
          <w:rFonts w:ascii="Times New Roman" w:eastAsia="Times New Roman" w:hAnsi="Times New Roman" w:cs="Times New Roman"/>
        </w:rPr>
        <w:t>ucing plate waste; to provide assistance to participants to ensure that minimum meal requirements are met; and to ensure that all programs are accountable. School districts and residential child care institutions may receive reimbursement for lunches serve</w:t>
      </w:r>
      <w:r>
        <w:rPr>
          <w:rFonts w:ascii="Times New Roman" w:eastAsia="Times New Roman" w:hAnsi="Times New Roman" w:cs="Times New Roman"/>
        </w:rPr>
        <w:t xml:space="preserve">d to enrolled students at predetermined rates established for free, reduced-price, or full-price meals each fiscal year. </w:t>
      </w:r>
    </w:p>
    <w:p w:rsidR="00632B43" w:rsidRDefault="00C83A5C">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It is the policy of Oklahoma Union Public Schools that all students will establish a “Lunch Account” prior to eating in the cafeteria</w:t>
      </w:r>
      <w:r>
        <w:rPr>
          <w:rFonts w:ascii="Times New Roman" w:eastAsia="Times New Roman" w:hAnsi="Times New Roman" w:cs="Times New Roman"/>
          <w:b/>
        </w:rPr>
        <w:t>.</w:t>
      </w:r>
      <w:r>
        <w:rPr>
          <w:rFonts w:ascii="Times New Roman" w:eastAsia="Times New Roman" w:hAnsi="Times New Roman" w:cs="Times New Roman"/>
          <w:b/>
        </w:rPr>
        <w:t xml:space="preserve"> Oklahoma Union Public School is not required to provide meals if payment is not made for the current day’s meal or if funds in the student’s account are not sufficient to cover the cost of the meal.</w:t>
      </w:r>
      <w:r>
        <w:rPr>
          <w:rFonts w:ascii="Times New Roman" w:eastAsia="Times New Roman" w:hAnsi="Times New Roman" w:cs="Times New Roman"/>
        </w:rPr>
        <w:t xml:space="preserve"> It is recommended that student lunch accounts maintain a</w:t>
      </w:r>
      <w:r>
        <w:rPr>
          <w:rFonts w:ascii="Times New Roman" w:eastAsia="Times New Roman" w:hAnsi="Times New Roman" w:cs="Times New Roman"/>
        </w:rPr>
        <w:t xml:space="preserve"> positive balance to eliminate disruption in Oklahoma Union Public schools ability to provide adequate meal service. Balances can be found in the guardian portal.  Additionally, balance statements are sent monthly.  </w:t>
      </w:r>
    </w:p>
    <w:p w:rsidR="00632B43" w:rsidRDefault="00C83A5C">
      <w:pPr>
        <w:spacing w:before="280" w:after="280" w:line="240" w:lineRule="auto"/>
        <w:rPr>
          <w:rFonts w:ascii="Times New Roman" w:eastAsia="Times New Roman" w:hAnsi="Times New Roman" w:cs="Times New Roman"/>
          <w:b/>
        </w:rPr>
      </w:pPr>
      <w:r>
        <w:rPr>
          <w:rFonts w:ascii="Times New Roman" w:eastAsia="Times New Roman" w:hAnsi="Times New Roman" w:cs="Times New Roman"/>
          <w:b/>
        </w:rPr>
        <w:t>When a negative account balance of $20.</w:t>
      </w:r>
      <w:r>
        <w:rPr>
          <w:rFonts w:ascii="Times New Roman" w:eastAsia="Times New Roman" w:hAnsi="Times New Roman" w:cs="Times New Roman"/>
          <w:b/>
        </w:rPr>
        <w:t>00 per student is accumulated, students will not be allowed to charge meals. Parents may provide a sack lunch or money to purchase a meal for that day. Accounts that remain delinquent after 3 months or have not been set up on a payment plan may be referred</w:t>
      </w:r>
      <w:r>
        <w:rPr>
          <w:rFonts w:ascii="Times New Roman" w:eastAsia="Times New Roman" w:hAnsi="Times New Roman" w:cs="Times New Roman"/>
          <w:b/>
        </w:rPr>
        <w:t xml:space="preserve"> to an outside collection agency. The superintendent will make the final decision on referring delinquent accounts to the collection agency.  </w:t>
      </w:r>
    </w:p>
    <w:p w:rsidR="00632B43" w:rsidRDefault="00C83A5C">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Payment</w:t>
      </w:r>
    </w:p>
    <w:p w:rsidR="00632B43" w:rsidRDefault="00C83A5C">
      <w:pPr>
        <w:numPr>
          <w:ilvl w:val="0"/>
          <w:numId w:val="1"/>
        </w:numPr>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Payments may be mailed to Oklahoma Union Public Schools, Child Nutrition program, 13925 State Highway 10, South Coffeyville, OK 74072 </w:t>
      </w:r>
    </w:p>
    <w:p w:rsidR="00632B43" w:rsidRDefault="00C83A5C">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Payment can be made in person at building offices</w:t>
      </w:r>
    </w:p>
    <w:p w:rsidR="00632B43" w:rsidRDefault="00C83A5C">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Payments can be made by credit card using the Sylogist Pay Application found in the guardian portal. </w:t>
      </w:r>
      <w:r>
        <w:rPr>
          <w:rFonts w:ascii="Times New Roman" w:eastAsia="Times New Roman" w:hAnsi="Times New Roman" w:cs="Times New Roman"/>
          <w:sz w:val="24"/>
          <w:szCs w:val="24"/>
        </w:rPr>
        <w:t xml:space="preserve"> </w:t>
      </w:r>
    </w:p>
    <w:p w:rsidR="00632B43" w:rsidRDefault="00C83A5C">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Oklahoma Union public schools staff should also prepay lunch accounts. Staff will follow the same policy and procedures as outlined for students. When st</w:t>
      </w:r>
      <w:r>
        <w:rPr>
          <w:rFonts w:ascii="Times New Roman" w:eastAsia="Times New Roman" w:hAnsi="Times New Roman" w:cs="Times New Roman"/>
          <w:sz w:val="24"/>
          <w:szCs w:val="24"/>
        </w:rPr>
        <w:t xml:space="preserve">aff reach a negative account balance of $20.00 they will not be allowed to charge meals.   </w:t>
      </w:r>
    </w:p>
    <w:p w:rsidR="00632B43" w:rsidRDefault="00C83A5C">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Meal charges for the current school year must be paid in full before the final day of school. NO EXCEPTIONS.</w:t>
      </w:r>
      <w:r>
        <w:rPr>
          <w:rFonts w:ascii="Times New Roman" w:eastAsia="Times New Roman" w:hAnsi="Times New Roman" w:cs="Times New Roman"/>
          <w:sz w:val="24"/>
          <w:szCs w:val="24"/>
        </w:rPr>
        <w:t xml:space="preserve"> Money left in the student’s/staff account at the end of</w:t>
      </w:r>
      <w:r>
        <w:rPr>
          <w:rFonts w:ascii="Times New Roman" w:eastAsia="Times New Roman" w:hAnsi="Times New Roman" w:cs="Times New Roman"/>
          <w:sz w:val="24"/>
          <w:szCs w:val="24"/>
        </w:rPr>
        <w:t xml:space="preserve"> the school year will be reentered into the student’s/staff account for the coming school year. When a student/staff leaves the school district a request for refund of any balance to their account must be made in writing within 30 days of termination of en</w:t>
      </w:r>
      <w:r>
        <w:rPr>
          <w:rFonts w:ascii="Times New Roman" w:eastAsia="Times New Roman" w:hAnsi="Times New Roman" w:cs="Times New Roman"/>
          <w:sz w:val="24"/>
          <w:szCs w:val="24"/>
        </w:rPr>
        <w:t xml:space="preserve">rollment/employment. Funds left in their account after 30 days will be used as a donation to the Child Nutrition Program. </w:t>
      </w:r>
    </w:p>
    <w:p w:rsidR="00632B43" w:rsidRDefault="00632B43">
      <w:pPr>
        <w:spacing w:before="280" w:after="280" w:line="240" w:lineRule="auto"/>
        <w:jc w:val="center"/>
        <w:rPr>
          <w:rFonts w:ascii="Times New Roman" w:eastAsia="Times New Roman" w:hAnsi="Times New Roman" w:cs="Times New Roman"/>
          <w:b/>
          <w:sz w:val="24"/>
          <w:szCs w:val="24"/>
        </w:rPr>
      </w:pPr>
    </w:p>
    <w:p w:rsidR="00632B43" w:rsidRDefault="00C83A5C">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Free/Reduced Meal Program</w:t>
      </w:r>
    </w:p>
    <w:p w:rsidR="00632B43" w:rsidRDefault="00C83A5C">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Families are encouraged to complete an application for free/reduced meals. You should receive an applicati</w:t>
      </w:r>
      <w:r>
        <w:rPr>
          <w:rFonts w:ascii="Times New Roman" w:eastAsia="Times New Roman" w:hAnsi="Times New Roman" w:cs="Times New Roman"/>
          <w:sz w:val="24"/>
          <w:szCs w:val="24"/>
        </w:rPr>
        <w:t>on with your registration packet or the first day of school. The application can also be accessed on our school website or picked up in school offices. Even if you think you may not qualify, there are a number of programs in our school that are dependent o</w:t>
      </w:r>
      <w:r>
        <w:rPr>
          <w:rFonts w:ascii="Times New Roman" w:eastAsia="Times New Roman" w:hAnsi="Times New Roman" w:cs="Times New Roman"/>
          <w:sz w:val="24"/>
          <w:szCs w:val="24"/>
        </w:rPr>
        <w:t xml:space="preserve">n the number of applications turned in and also number approved. All information on applications is confidential. </w:t>
      </w:r>
    </w:p>
    <w:p w:rsidR="00632B43" w:rsidRDefault="00C83A5C">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food allergies or special needs must have a signed physician statement before changes in the meal can be made. Forms must be up</w:t>
      </w:r>
      <w:r>
        <w:rPr>
          <w:rFonts w:ascii="Times New Roman" w:eastAsia="Times New Roman" w:hAnsi="Times New Roman" w:cs="Times New Roman"/>
          <w:sz w:val="24"/>
          <w:szCs w:val="24"/>
        </w:rPr>
        <w:t xml:space="preserve">dated each year and given to building principals/health staff. Building principals will forward to cafeteria staff. </w:t>
      </w:r>
    </w:p>
    <w:p w:rsidR="00632B43" w:rsidRDefault="00C83A5C">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students and staff have the responsibility to monitor meal accounts closely to make sure the balance is enough to cover the cost o</w:t>
      </w:r>
      <w:r>
        <w:rPr>
          <w:rFonts w:ascii="Times New Roman" w:eastAsia="Times New Roman" w:hAnsi="Times New Roman" w:cs="Times New Roman"/>
          <w:b/>
          <w:sz w:val="24"/>
          <w:szCs w:val="24"/>
        </w:rPr>
        <w:t xml:space="preserve">f meals. </w:t>
      </w:r>
    </w:p>
    <w:p w:rsidR="00632B43" w:rsidRDefault="00632B43">
      <w:pPr>
        <w:spacing w:before="280" w:after="280" w:line="240" w:lineRule="auto"/>
        <w:rPr>
          <w:rFonts w:ascii="Times New Roman" w:eastAsia="Times New Roman" w:hAnsi="Times New Roman" w:cs="Times New Roman"/>
          <w:sz w:val="24"/>
          <w:szCs w:val="24"/>
        </w:rPr>
      </w:pPr>
    </w:p>
    <w:p w:rsidR="00632B43" w:rsidRDefault="00C83A5C">
      <w:pPr>
        <w:spacing w:before="280" w:after="20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
    <w:p w:rsidR="00632B43" w:rsidRDefault="00632B43"/>
    <w:sectPr w:rsidR="00632B4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A5C" w:rsidRDefault="00C83A5C">
      <w:pPr>
        <w:spacing w:line="240" w:lineRule="auto"/>
      </w:pPr>
      <w:r>
        <w:separator/>
      </w:r>
    </w:p>
  </w:endnote>
  <w:endnote w:type="continuationSeparator" w:id="0">
    <w:p w:rsidR="00C83A5C" w:rsidRDefault="00C83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B43" w:rsidRDefault="00C83A5C">
    <w:r>
      <w:fldChar w:fldCharType="begin"/>
    </w:r>
    <w:r>
      <w:instrText>PAGE</w:instrText>
    </w:r>
    <w:r w:rsidR="00981079">
      <w:fldChar w:fldCharType="separate"/>
    </w:r>
    <w:r w:rsidR="009810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A5C" w:rsidRDefault="00C83A5C">
      <w:pPr>
        <w:spacing w:line="240" w:lineRule="auto"/>
      </w:pPr>
      <w:r>
        <w:separator/>
      </w:r>
    </w:p>
  </w:footnote>
  <w:footnote w:type="continuationSeparator" w:id="0">
    <w:p w:rsidR="00C83A5C" w:rsidRDefault="00C83A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9110A"/>
    <w:multiLevelType w:val="multilevel"/>
    <w:tmpl w:val="9FD08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1811AF"/>
    <w:multiLevelType w:val="multilevel"/>
    <w:tmpl w:val="309884F8"/>
    <w:lvl w:ilvl="0">
      <w:start w:val="1"/>
      <w:numFmt w:val="decimal"/>
      <w:lvlText w:val="%1."/>
      <w:lvlJc w:val="left"/>
      <w:pPr>
        <w:ind w:left="720" w:hanging="360"/>
      </w:pPr>
      <w:rPr>
        <w:rFonts w:ascii="Roboto" w:eastAsia="Roboto" w:hAnsi="Roboto" w:cs="Roboto"/>
        <w:color w:val="1B1B1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43"/>
    <w:rsid w:val="00632B43"/>
    <w:rsid w:val="00981079"/>
    <w:rsid w:val="00C8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AE252-C99E-44AB-AE83-7A6675C0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2024-09-12T17:19:00Z</dcterms:created>
  <dcterms:modified xsi:type="dcterms:W3CDTF">2024-09-12T17:19:00Z</dcterms:modified>
</cp:coreProperties>
</file>